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F18D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DOSTAWA </w:t>
      </w:r>
      <w:r w:rsidR="00467C1E">
        <w:rPr>
          <w:rFonts w:ascii="Calibri" w:hAnsi="Calibri" w:cs="Calibri"/>
          <w:b/>
          <w:i/>
          <w:sz w:val="32"/>
          <w:szCs w:val="32"/>
        </w:rPr>
        <w:t>ENERGII ELEKTRYCZNEJ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4952D7">
        <w:rPr>
          <w:rFonts w:ascii="Calibri" w:hAnsi="Calibri" w:cs="Calibri"/>
        </w:rPr>
        <w:t>21 r. poz. 1129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FD2E4C">
        <w:rPr>
          <w:rFonts w:ascii="Calibri" w:hAnsi="Calibri" w:cs="Calibri"/>
        </w:rPr>
        <w:t>2</w:t>
      </w:r>
      <w:r w:rsidR="00467C1E">
        <w:rPr>
          <w:rFonts w:ascii="Calibri" w:hAnsi="Calibri" w:cs="Calibri"/>
        </w:rPr>
        <w:t>0 maj</w:t>
      </w:r>
      <w:r w:rsidR="00455E54">
        <w:rPr>
          <w:rFonts w:ascii="Calibri" w:hAnsi="Calibri" w:cs="Calibri"/>
        </w:rPr>
        <w:t xml:space="preserve">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783C53">
      <w:pPr>
        <w:pStyle w:val="Akapitzlist"/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783C53">
      <w:pPr>
        <w:pStyle w:val="Akapitzlist"/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9D1008">
        <w:rPr>
          <w:rFonts w:ascii="Calibri" w:hAnsi="Calibri" w:cs="Calibri"/>
        </w:rPr>
        <w:t>(Dz. U. z 2021 r. poz. 1129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Default="00AA0306" w:rsidP="00721153">
      <w:pPr>
        <w:pStyle w:val="Akapitzlist"/>
        <w:numPr>
          <w:ilvl w:val="1"/>
          <w:numId w:val="42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FD2E4C" w:rsidRDefault="00FD2E4C" w:rsidP="00FD2E4C">
      <w:pPr>
        <w:pStyle w:val="Akapitzlist1"/>
        <w:ind w:left="0"/>
        <w:jc w:val="both"/>
        <w:rPr>
          <w:rFonts w:cs="Calibri"/>
          <w:color w:val="000000"/>
          <w:sz w:val="24"/>
          <w:u w:val="single"/>
        </w:rPr>
      </w:pPr>
    </w:p>
    <w:p w:rsidR="00467C1E" w:rsidRPr="0059678F" w:rsidRDefault="00467C1E" w:rsidP="00FD2E4C">
      <w:pPr>
        <w:pStyle w:val="Akapitzlist1"/>
        <w:numPr>
          <w:ilvl w:val="0"/>
          <w:numId w:val="44"/>
        </w:numPr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>Przedmiotem zamówienia jest dostawa energii elektrycznej dla potrzeb Muzeum Rolnictwa im. ks. Krzysztofa Kluka w Ciechanowcu wg poniższych punktów poboru mocy: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1. PL_ZEBB_2013018677_06, tar. G12w, Ciechanowiec, ul. Pałacowa 8B/4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2. PL_ZEBB_2013025779_03, tar. C12a, Ciechanowiec, ul. Pałacowa 5</w:t>
      </w:r>
    </w:p>
    <w:p w:rsidR="00467C1E" w:rsidRPr="0059678F" w:rsidRDefault="00467C1E" w:rsidP="0059678F">
      <w:pPr>
        <w:tabs>
          <w:tab w:val="left" w:pos="3060"/>
        </w:tabs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3. PL_ZEBB_1416010394_00, tar. C12a, Boguty-Pianki, Drewnowo-Ziemaki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4. PL_ZEBB_2013023521_02,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5. PL_ZEBB_2013029988_04,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6. PL_ZEBB_2013029987_02,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lastRenderedPageBreak/>
        <w:t>7. PL_ZEBB_2013010652_02,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8. PL_ZEBB_2013021154_09, tar. G12w, Ciechanowiec, ul. Pałacowa 8B/3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9. PL_ZEBB_2013022503_01,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10. PL_ZEBB_2013033100_06, tar. C12a, Ciechanowiec, Winna-Chroły 25A</w:t>
      </w:r>
    </w:p>
    <w:p w:rsidR="00467C1E" w:rsidRDefault="00467C1E" w:rsidP="0059678F">
      <w:pPr>
        <w:spacing w:after="0" w:line="240" w:lineRule="auto"/>
        <w:ind w:left="567" w:firstLine="284"/>
        <w:rPr>
          <w:rFonts w:ascii="Calibri" w:hAnsi="Calibri" w:cs="Calibri"/>
          <w:color w:val="000000" w:themeColor="text1"/>
          <w:szCs w:val="24"/>
        </w:rPr>
      </w:pPr>
      <w:r w:rsidRPr="0059678F">
        <w:rPr>
          <w:rFonts w:ascii="Calibri" w:hAnsi="Calibri" w:cs="Calibri"/>
          <w:szCs w:val="24"/>
        </w:rPr>
        <w:t xml:space="preserve">11. PL_ZEBB_2013029257_09, tar. C12a, Ciechanowiec, </w:t>
      </w:r>
      <w:r w:rsidRPr="0059678F">
        <w:rPr>
          <w:rFonts w:ascii="Calibri" w:hAnsi="Calibri" w:cs="Calibri"/>
          <w:color w:val="000000" w:themeColor="text1"/>
          <w:szCs w:val="24"/>
        </w:rPr>
        <w:t>ul. Pałacowa 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12. PL_ZEBB_2013033099_07</w:t>
      </w:r>
      <w:r w:rsidRPr="0059678F">
        <w:rPr>
          <w:rFonts w:ascii="Calibri" w:hAnsi="Calibri" w:cs="Calibri"/>
          <w:szCs w:val="24"/>
        </w:rPr>
        <w:t xml:space="preserve"> tar. C12a,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13. PL_ZEBB_2013035516_03 tar. C23 </w:t>
      </w:r>
      <w:r w:rsidRPr="0059678F">
        <w:rPr>
          <w:rFonts w:ascii="Calibri" w:hAnsi="Calibri" w:cs="Calibri"/>
          <w:szCs w:val="24"/>
        </w:rPr>
        <w:t xml:space="preserve">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14. PL_ZEBB_2013035515_01 tar. C23</w:t>
      </w:r>
      <w:r w:rsidRPr="0059678F">
        <w:rPr>
          <w:rFonts w:ascii="Calibri" w:hAnsi="Calibri" w:cs="Calibri"/>
          <w:szCs w:val="24"/>
        </w:rPr>
        <w:t xml:space="preserve">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15. PL_ZEBB_2013035891_09 tar. C23</w:t>
      </w:r>
      <w:r w:rsidRPr="0059678F">
        <w:rPr>
          <w:rFonts w:ascii="Calibri" w:hAnsi="Calibri" w:cs="Calibri"/>
          <w:szCs w:val="24"/>
        </w:rPr>
        <w:t xml:space="preserve">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5</w:t>
      </w:r>
    </w:p>
    <w:p w:rsidR="0059678F" w:rsidRDefault="0059678F" w:rsidP="00825518">
      <w:pPr>
        <w:pStyle w:val="Akapitzlist1"/>
        <w:ind w:left="0"/>
        <w:jc w:val="both"/>
        <w:rPr>
          <w:rFonts w:cs="Calibri"/>
          <w:sz w:val="24"/>
          <w:szCs w:val="24"/>
        </w:rPr>
      </w:pPr>
    </w:p>
    <w:p w:rsidR="0059678F" w:rsidRPr="00657A26" w:rsidRDefault="00467C1E" w:rsidP="00CB7194">
      <w:pPr>
        <w:pStyle w:val="Akapitzlist1"/>
        <w:numPr>
          <w:ilvl w:val="0"/>
          <w:numId w:val="44"/>
        </w:numPr>
        <w:jc w:val="both"/>
        <w:rPr>
          <w:rFonts w:cs="Calibri"/>
          <w:color w:val="000000" w:themeColor="text1"/>
          <w:sz w:val="24"/>
          <w:szCs w:val="24"/>
        </w:rPr>
      </w:pPr>
      <w:r w:rsidRPr="00657A26">
        <w:rPr>
          <w:rFonts w:cs="Calibri"/>
          <w:color w:val="000000" w:themeColor="text1"/>
          <w:sz w:val="24"/>
          <w:szCs w:val="24"/>
        </w:rPr>
        <w:t>Szacunkowe zużycie energii elektrycznej w okresi</w:t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e obowiązywania umowy: </w:t>
      </w:r>
      <w:r w:rsidR="00657A26">
        <w:rPr>
          <w:rFonts w:cs="Calibri"/>
          <w:color w:val="000000" w:themeColor="text1"/>
          <w:sz w:val="24"/>
          <w:szCs w:val="24"/>
        </w:rPr>
        <w:br/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C12a - </w:t>
      </w:r>
      <w:r w:rsidR="00657A26" w:rsidRPr="00657A26">
        <w:rPr>
          <w:rFonts w:cs="Calibri"/>
          <w:color w:val="000000" w:themeColor="text1"/>
          <w:sz w:val="24"/>
          <w:szCs w:val="24"/>
        </w:rPr>
        <w:t>75</w:t>
      </w:r>
      <w:r w:rsidRPr="00657A26">
        <w:rPr>
          <w:rFonts w:cs="Calibri"/>
          <w:color w:val="000000" w:themeColor="text1"/>
          <w:sz w:val="24"/>
          <w:szCs w:val="24"/>
        </w:rPr>
        <w:t xml:space="preserve"> MWh, C</w:t>
      </w:r>
      <w:r w:rsidR="00825518" w:rsidRPr="00657A26">
        <w:rPr>
          <w:rFonts w:cs="Calibri"/>
          <w:color w:val="000000" w:themeColor="text1"/>
          <w:sz w:val="24"/>
          <w:szCs w:val="24"/>
        </w:rPr>
        <w:t>23</w:t>
      </w:r>
      <w:r w:rsidRPr="00657A26">
        <w:rPr>
          <w:rFonts w:cs="Calibri"/>
          <w:color w:val="000000" w:themeColor="text1"/>
          <w:sz w:val="24"/>
          <w:szCs w:val="24"/>
        </w:rPr>
        <w:t> </w:t>
      </w:r>
      <w:r w:rsidR="00825518" w:rsidRPr="00657A26">
        <w:rPr>
          <w:rFonts w:cs="Calibri"/>
          <w:color w:val="000000" w:themeColor="text1"/>
          <w:sz w:val="24"/>
          <w:szCs w:val="24"/>
        </w:rPr>
        <w:t>–</w:t>
      </w:r>
      <w:r w:rsidRPr="00657A26">
        <w:rPr>
          <w:rFonts w:cs="Calibri"/>
          <w:color w:val="000000" w:themeColor="text1"/>
          <w:sz w:val="24"/>
          <w:szCs w:val="24"/>
        </w:rPr>
        <w:t xml:space="preserve"> </w:t>
      </w:r>
      <w:r w:rsidR="00657A26" w:rsidRPr="00657A26">
        <w:rPr>
          <w:rFonts w:cs="Calibri"/>
          <w:color w:val="000000" w:themeColor="text1"/>
          <w:sz w:val="24"/>
          <w:szCs w:val="24"/>
        </w:rPr>
        <w:t>75 MWh, G12w – 0,1</w:t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 MWh. </w:t>
      </w:r>
    </w:p>
    <w:p w:rsidR="000C550C" w:rsidRPr="00657A26" w:rsidRDefault="00467C1E" w:rsidP="00CB7194">
      <w:pPr>
        <w:pStyle w:val="Akapitzlist1"/>
        <w:numPr>
          <w:ilvl w:val="0"/>
          <w:numId w:val="44"/>
        </w:numPr>
        <w:jc w:val="both"/>
        <w:rPr>
          <w:rFonts w:cs="Calibri"/>
          <w:color w:val="000000" w:themeColor="text1"/>
          <w:sz w:val="24"/>
          <w:szCs w:val="24"/>
        </w:rPr>
      </w:pPr>
      <w:r w:rsidRPr="00657A26">
        <w:rPr>
          <w:rFonts w:cs="Calibri"/>
          <w:color w:val="000000" w:themeColor="text1"/>
          <w:sz w:val="24"/>
          <w:szCs w:val="24"/>
        </w:rPr>
        <w:t xml:space="preserve">Planowana produkcja energii elektrycznej z paneli fotowoltaicznych maksymalnie do </w:t>
      </w:r>
      <w:r w:rsidR="00657A26">
        <w:rPr>
          <w:rFonts w:cs="Calibri"/>
          <w:color w:val="000000" w:themeColor="text1"/>
          <w:sz w:val="24"/>
          <w:szCs w:val="24"/>
        </w:rPr>
        <w:br/>
      </w:r>
      <w:r w:rsidR="00657A26" w:rsidRPr="00657A26">
        <w:rPr>
          <w:rFonts w:cs="Calibri"/>
          <w:color w:val="000000" w:themeColor="text1"/>
          <w:sz w:val="24"/>
          <w:szCs w:val="24"/>
        </w:rPr>
        <w:t>70</w:t>
      </w:r>
      <w:r w:rsidRPr="00657A26">
        <w:rPr>
          <w:rFonts w:cs="Calibri"/>
          <w:color w:val="000000" w:themeColor="text1"/>
          <w:sz w:val="24"/>
          <w:szCs w:val="24"/>
        </w:rPr>
        <w:t xml:space="preserve"> MWh.</w:t>
      </w:r>
    </w:p>
    <w:p w:rsidR="00FD2E4C" w:rsidRPr="00CB7194" w:rsidRDefault="000C550C" w:rsidP="00CB7194">
      <w:pPr>
        <w:pStyle w:val="Akapitzlist1"/>
        <w:numPr>
          <w:ilvl w:val="0"/>
          <w:numId w:val="44"/>
        </w:numPr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 xml:space="preserve">Powyższe dane mają charakter orientacyjny i stanowią element niezbędny do wyboru oferty najkorzystniejszej. Podana ilość nie stanowi zobowiązania Zamawiającego do zakupu energii elektrycznej w podanych ilościach. Rozliczenie dostawy odbywać się będzie na podstawie faktycznego zużycia oraz produkcji energii wg cen wynikających ze złożonej oferty. </w:t>
      </w:r>
    </w:p>
    <w:p w:rsidR="000C550C" w:rsidRPr="00CB7194" w:rsidRDefault="000C550C" w:rsidP="00CB7194">
      <w:pPr>
        <w:pStyle w:val="Akapitzlist1"/>
        <w:numPr>
          <w:ilvl w:val="0"/>
          <w:numId w:val="4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dysponuje tytułem prawnym (akt notarialny, umowa najmu, itp.), który upoważnia go do swobodnego dysponowania obiektami opisanymi w przedmiocie zamówienia.</w:t>
      </w:r>
    </w:p>
    <w:p w:rsidR="000C550C" w:rsidRPr="00CB7194" w:rsidRDefault="000C550C" w:rsidP="00CB7194">
      <w:pPr>
        <w:pStyle w:val="Akapitzlist1"/>
        <w:numPr>
          <w:ilvl w:val="0"/>
          <w:numId w:val="4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przekaże niezbędne dane do przeprowadzenia procedury zmiany sprzedawcy w wersji elektronicznej niezwłocznie po wyborze Wykonawcy w zakresie nie opisanym w SWZ. </w:t>
      </w:r>
    </w:p>
    <w:p w:rsidR="000C550C" w:rsidRPr="00CB7194" w:rsidRDefault="000C550C" w:rsidP="00CB7194">
      <w:pPr>
        <w:pStyle w:val="Akapitzlist1"/>
        <w:numPr>
          <w:ilvl w:val="0"/>
          <w:numId w:val="4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przekaże niezbędne dokumenty (pełnomocnictwo, NIP, Regon) do przeprowadzenia procedury zmiany sprzedawcy. </w:t>
      </w:r>
    </w:p>
    <w:p w:rsidR="000C550C" w:rsidRPr="00CB7194" w:rsidRDefault="000C550C" w:rsidP="00CB7194">
      <w:pPr>
        <w:pStyle w:val="Akapitzlist1"/>
        <w:numPr>
          <w:ilvl w:val="0"/>
          <w:numId w:val="4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informuje, że nie posiada statusu:</w:t>
      </w:r>
    </w:p>
    <w:p w:rsidR="000C550C" w:rsidRPr="00CB7194" w:rsidRDefault="00CB7194" w:rsidP="00CB7194">
      <w:pPr>
        <w:pStyle w:val="Akapitzlist1"/>
        <w:numPr>
          <w:ilvl w:val="0"/>
          <w:numId w:val="45"/>
        </w:numPr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</w:t>
      </w:r>
      <w:r w:rsidR="000C550C" w:rsidRPr="00CB7194">
        <w:rPr>
          <w:rFonts w:cs="Calibri"/>
          <w:color w:val="000000" w:themeColor="text1"/>
          <w:sz w:val="24"/>
          <w:szCs w:val="24"/>
        </w:rPr>
        <w:t>ytwórcy energii o odnawialnych źródłach energii</w:t>
      </w:r>
      <w:r>
        <w:rPr>
          <w:rFonts w:cs="Calibri"/>
          <w:color w:val="000000" w:themeColor="text1"/>
          <w:sz w:val="24"/>
          <w:szCs w:val="24"/>
        </w:rPr>
        <w:t>.</w:t>
      </w:r>
    </w:p>
    <w:p w:rsidR="000C550C" w:rsidRPr="00CB7194" w:rsidRDefault="000C550C" w:rsidP="00FD2E4C">
      <w:pPr>
        <w:pStyle w:val="Akapitzlist1"/>
        <w:numPr>
          <w:ilvl w:val="0"/>
          <w:numId w:val="4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Okres rozliczeniowy/cykl przekazywania danych pomiarowych w odniesieniu do w/w PPE wynosi 1 miesiąc. </w:t>
      </w:r>
    </w:p>
    <w:p w:rsidR="000C550C" w:rsidRPr="00CB7194" w:rsidRDefault="000C550C" w:rsidP="00FD2E4C">
      <w:pPr>
        <w:pStyle w:val="Akapitzlist1"/>
        <w:numPr>
          <w:ilvl w:val="0"/>
          <w:numId w:val="4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posiada aktualnie rozdzielone umowy:</w:t>
      </w:r>
    </w:p>
    <w:p w:rsidR="000C550C" w:rsidRPr="00CB7194" w:rsidRDefault="00CB7194" w:rsidP="000C550C">
      <w:pPr>
        <w:pStyle w:val="Akapitzlist1"/>
        <w:numPr>
          <w:ilvl w:val="0"/>
          <w:numId w:val="46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n</w:t>
      </w:r>
      <w:r w:rsidR="000C550C" w:rsidRPr="00CB7194">
        <w:rPr>
          <w:rFonts w:cs="Calibri"/>
          <w:color w:val="000000" w:themeColor="text1"/>
          <w:sz w:val="24"/>
          <w:szCs w:val="24"/>
        </w:rPr>
        <w:t>a sprzedaż energii elektrycznej,</w:t>
      </w:r>
      <w:r w:rsidRPr="00CB7194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jest </w:t>
      </w:r>
      <w:r w:rsidRPr="00CB7194">
        <w:rPr>
          <w:rFonts w:cs="Calibri"/>
          <w:color w:val="000000" w:themeColor="text1"/>
          <w:sz w:val="24"/>
          <w:szCs w:val="24"/>
        </w:rPr>
        <w:t xml:space="preserve">zawarta na czas określony i wygasa z dniem 30 czerwca 2022 r. </w:t>
      </w:r>
    </w:p>
    <w:p w:rsidR="00CB7194" w:rsidRPr="00CB7194" w:rsidRDefault="00CB7194" w:rsidP="00CB7194">
      <w:pPr>
        <w:pStyle w:val="Akapitzlist1"/>
        <w:numPr>
          <w:ilvl w:val="0"/>
          <w:numId w:val="46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u</w:t>
      </w:r>
      <w:r w:rsidR="000C550C" w:rsidRPr="00CB7194">
        <w:rPr>
          <w:rFonts w:cs="Calibri"/>
          <w:color w:val="000000" w:themeColor="text1"/>
          <w:sz w:val="24"/>
          <w:szCs w:val="24"/>
        </w:rPr>
        <w:t>mowę na świadczenie usług dystrybucji</w:t>
      </w:r>
      <w:r w:rsidRPr="00CB7194">
        <w:rPr>
          <w:rFonts w:cs="Calibri"/>
          <w:color w:val="000000" w:themeColor="text1"/>
          <w:sz w:val="24"/>
          <w:szCs w:val="24"/>
        </w:rPr>
        <w:t>, jest zawarta na czas nieokreślony,</w:t>
      </w:r>
      <w:r w:rsidRPr="00CB7194">
        <w:rPr>
          <w:rFonts w:cs="Calibri"/>
          <w:color w:val="000000" w:themeColor="text1"/>
          <w:szCs w:val="20"/>
        </w:rPr>
        <w:t xml:space="preserve"> </w:t>
      </w:r>
      <w:r w:rsidRPr="00CB7194">
        <w:rPr>
          <w:rFonts w:cs="Calibri"/>
          <w:color w:val="000000" w:themeColor="text1"/>
          <w:sz w:val="24"/>
          <w:szCs w:val="24"/>
        </w:rPr>
        <w:t>Operatorem Systemu Dystrybucji Zamawiającego jest PGE Dystrybucja Spółka Akcyjna z siedzibą w Lublinie</w:t>
      </w:r>
      <w:r>
        <w:rPr>
          <w:rFonts w:cs="Calibri"/>
          <w:color w:val="000000" w:themeColor="text1"/>
          <w:sz w:val="24"/>
          <w:szCs w:val="24"/>
        </w:rPr>
        <w:t>.</w:t>
      </w:r>
    </w:p>
    <w:p w:rsidR="000C550C" w:rsidRDefault="000C550C" w:rsidP="00CB7194">
      <w:pPr>
        <w:pStyle w:val="Akapitzlist1"/>
        <w:ind w:left="1080"/>
        <w:jc w:val="both"/>
        <w:rPr>
          <w:rFonts w:cs="Calibri"/>
          <w:color w:val="FF0000"/>
          <w:sz w:val="24"/>
          <w:szCs w:val="24"/>
        </w:rPr>
      </w:pPr>
    </w:p>
    <w:p w:rsidR="00467C1E" w:rsidRPr="00CB7194" w:rsidRDefault="00467C1E" w:rsidP="00CB7194">
      <w:pPr>
        <w:pStyle w:val="Akapitzlist1"/>
        <w:numPr>
          <w:ilvl w:val="0"/>
          <w:numId w:val="44"/>
        </w:numPr>
        <w:jc w:val="both"/>
        <w:rPr>
          <w:rFonts w:cs="Calibri"/>
          <w:color w:val="FF0000"/>
          <w:sz w:val="24"/>
          <w:szCs w:val="24"/>
        </w:rPr>
      </w:pPr>
      <w:r w:rsidRPr="00CB7194">
        <w:rPr>
          <w:rFonts w:cs="Calibri"/>
          <w:sz w:val="24"/>
          <w:szCs w:val="24"/>
        </w:rPr>
        <w:t>Przedmiot zamówienia realizowany będzie na warunkach określonych w ustawie z dnia 10.04.1997 r. – Prawo energetyczne (Dz. U. z 2019 r. poz. 755 ze zm.) wraz z przepisami wykonawczymi.</w:t>
      </w:r>
    </w:p>
    <w:p w:rsidR="00553995" w:rsidRDefault="00553995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Pr="00553995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553995" w:rsidRPr="00810A3F" w:rsidRDefault="00553995" w:rsidP="0059678F">
      <w:pPr>
        <w:pStyle w:val="Akapitzlist"/>
        <w:spacing w:after="1" w:line="250" w:lineRule="auto"/>
        <w:ind w:left="1418" w:right="43" w:hanging="851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553995" w:rsidRDefault="0059678F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09310000 – 5</w:t>
      </w:r>
      <w:r w:rsidR="00553995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 xml:space="preserve">Elektryczność </w:t>
      </w:r>
      <w:r w:rsidR="00553995">
        <w:rPr>
          <w:rFonts w:ascii="Calibri" w:hAnsi="Calibri" w:cs="Calibri"/>
          <w:b/>
        </w:rPr>
        <w:t xml:space="preserve"> 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1A4B2A" w:rsidRPr="0073059B" w:rsidRDefault="001A4B2A" w:rsidP="0073059B">
      <w:pPr>
        <w:spacing w:after="1" w:line="250" w:lineRule="auto"/>
        <w:ind w:left="567" w:right="43" w:firstLine="142"/>
        <w:rPr>
          <w:rFonts w:ascii="Calibri" w:hAnsi="Calibri" w:cs="Calibri"/>
          <w:b/>
        </w:rPr>
      </w:pPr>
    </w:p>
    <w:p w:rsidR="009667AC" w:rsidRPr="00810A3F" w:rsidRDefault="000E1B20" w:rsidP="00783C53">
      <w:pPr>
        <w:pStyle w:val="Akapitzlist"/>
        <w:numPr>
          <w:ilvl w:val="1"/>
          <w:numId w:val="21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910E92" w:rsidRPr="00910E92" w:rsidRDefault="00910E92" w:rsidP="00783C53">
      <w:pPr>
        <w:pStyle w:val="Akapitzlist"/>
        <w:numPr>
          <w:ilvl w:val="0"/>
          <w:numId w:val="38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</w:t>
      </w:r>
      <w:r>
        <w:rPr>
          <w:rFonts w:ascii="Calibri" w:hAnsi="Calibri" w:cs="Calibri"/>
        </w:rPr>
        <w:t xml:space="preserve">95 ustawy. </w:t>
      </w:r>
    </w:p>
    <w:p w:rsidR="00910E92" w:rsidRDefault="009667AC" w:rsidP="00783C53">
      <w:pPr>
        <w:pStyle w:val="Akapitzlist"/>
        <w:numPr>
          <w:ilvl w:val="0"/>
          <w:numId w:val="38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910E92" w:rsidRPr="00910E92" w:rsidRDefault="00910E92" w:rsidP="00910E92">
      <w:pPr>
        <w:pStyle w:val="Akapitzlist"/>
        <w:spacing w:afterLines="120" w:after="288" w:line="266" w:lineRule="auto"/>
        <w:ind w:left="981" w:right="51" w:firstLine="0"/>
        <w:rPr>
          <w:rFonts w:ascii="Calibri" w:hAnsi="Calibri" w:cs="Calibri"/>
        </w:rPr>
      </w:pPr>
    </w:p>
    <w:p w:rsidR="001403A5" w:rsidRPr="00EC619A" w:rsidRDefault="000E1B20" w:rsidP="00783C53">
      <w:pPr>
        <w:pStyle w:val="Akapitzlist"/>
        <w:numPr>
          <w:ilvl w:val="1"/>
          <w:numId w:val="21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BF18D9" w:rsidRDefault="000E1B20" w:rsidP="00783C53">
      <w:pPr>
        <w:numPr>
          <w:ilvl w:val="0"/>
          <w:numId w:val="1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BF18D9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EC619A" w:rsidRPr="009667AC" w:rsidRDefault="000E1B20" w:rsidP="00783C53">
      <w:pPr>
        <w:numPr>
          <w:ilvl w:val="0"/>
          <w:numId w:val="1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783C53">
      <w:pPr>
        <w:pStyle w:val="Akapitzlist"/>
        <w:numPr>
          <w:ilvl w:val="1"/>
          <w:numId w:val="21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783C53">
      <w:pPr>
        <w:pStyle w:val="Akapitzlist"/>
        <w:numPr>
          <w:ilvl w:val="3"/>
          <w:numId w:val="22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</w:t>
      </w:r>
      <w:r w:rsidRPr="00EC619A">
        <w:rPr>
          <w:rFonts w:ascii="Calibri" w:hAnsi="Calibri" w:cs="Calibri"/>
        </w:rPr>
        <w:lastRenderedPageBreak/>
        <w:t xml:space="preserve">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783C53">
      <w:pPr>
        <w:pStyle w:val="Akapitzlist"/>
        <w:numPr>
          <w:ilvl w:val="0"/>
          <w:numId w:val="20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Wykonawca zobowiązany jest z</w:t>
      </w:r>
      <w:r w:rsidR="0059678F">
        <w:rPr>
          <w:rFonts w:ascii="Calibri" w:hAnsi="Calibri" w:cs="Calibri"/>
        </w:rPr>
        <w:t>realizowa</w:t>
      </w:r>
      <w:r w:rsidR="00E817A0">
        <w:rPr>
          <w:rFonts w:ascii="Calibri" w:hAnsi="Calibri" w:cs="Calibri"/>
        </w:rPr>
        <w:t>ć przedmiot za</w:t>
      </w:r>
      <w:r w:rsidR="00B15D46">
        <w:rPr>
          <w:rFonts w:ascii="Calibri" w:hAnsi="Calibri" w:cs="Calibri"/>
        </w:rPr>
        <w:t>mówienia: od 01.07.2022 r. do 31.12.2022</w:t>
      </w:r>
      <w:r w:rsidR="0059678F">
        <w:rPr>
          <w:rFonts w:ascii="Calibri" w:hAnsi="Calibri" w:cs="Calibri"/>
        </w:rPr>
        <w:t xml:space="preserve"> r. </w:t>
      </w:r>
    </w:p>
    <w:p w:rsidR="00D50453" w:rsidRPr="007074C9" w:rsidRDefault="00D50453" w:rsidP="00783C53">
      <w:pPr>
        <w:pStyle w:val="Akapitzlist"/>
        <w:numPr>
          <w:ilvl w:val="0"/>
          <w:numId w:val="20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59678F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  <w:r w:rsidR="0059678F"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783C53">
      <w:pPr>
        <w:pStyle w:val="Akapitzlist"/>
        <w:numPr>
          <w:ilvl w:val="0"/>
          <w:numId w:val="20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290E30" w:rsidRPr="00216644" w:rsidRDefault="00290E30" w:rsidP="00290E30">
      <w:pPr>
        <w:ind w:right="50" w:firstLine="29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1.1. będącego osobą fizyczną, którego prawomocnie skazano za przestępstwo: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handlu ludźmi, o którym mowa w art. 189a Kodeksu karnego,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o którym mowa w art. 228–230a, art. 250a Kodeksu karnego lub w art. 46 lub art. 48 ustawy z dnia 25 czerwca 2010 r. o sporcie,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pracy małoletnich cudzoziemców powierzenia wykonywania pracy małoletniemu cudzoziemcowi, o którym mowa w art. 9 ust. 2 ustawy z dnia 15 czerwca 2012 r.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skutkach powierzania wykonywania pracy cudzoziemcom przebywającym wbrew przepisom na terytorium Rzeczypospolitej Polskiej (Dz. U. poz. 769),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na terytorium Rzeczypospolitej Polskiej</w:t>
      </w:r>
    </w:p>
    <w:p w:rsidR="00290E30" w:rsidRPr="00216644" w:rsidRDefault="00290E30" w:rsidP="00290E30">
      <w:pPr>
        <w:ind w:left="897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– lub za odpowiedni czyn zabroniony określony w przepisach prawa obcego;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1.1.;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prawomocnie orzeczono zakaz ubiegania się o zamówienia publiczne;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siebie.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</w:t>
      </w:r>
      <w:r w:rsidRPr="00216644">
        <w:rPr>
          <w:rFonts w:ascii="Calibri" w:hAnsi="Calibri" w:cs="Calibri"/>
        </w:rPr>
        <w:lastRenderedPageBreak/>
        <w:t xml:space="preserve">niż przez wykluczenie wykonawcy z udziału w postępowaniu o udzielenie zamówienia. </w:t>
      </w:r>
    </w:p>
    <w:p w:rsidR="00B942A5" w:rsidRPr="00B942A5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>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6119B7">
        <w:rPr>
          <w:rFonts w:ascii="Calibri" w:hAnsi="Calibri" w:cs="Calibri"/>
          <w:b/>
        </w:rPr>
        <w:t xml:space="preserve"> </w:t>
      </w:r>
    </w:p>
    <w:p w:rsidR="006119B7" w:rsidRPr="00B942A5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B942A5">
        <w:rPr>
          <w:rFonts w:ascii="Calibri" w:hAnsi="Calibri" w:cs="Calibri"/>
        </w:rPr>
        <w:t>Zamawiający może wykluczyć Wykonawcę na każdym etapie postępowania o udzielenie zamówienia (art. 110 ust. 1 ustawy Pzp).</w:t>
      </w:r>
      <w:r w:rsidRPr="00B942A5">
        <w:rPr>
          <w:rFonts w:ascii="Calibri" w:hAnsi="Calibri" w:cs="Calibri"/>
          <w:b/>
        </w:rPr>
        <w:t xml:space="preserve"> </w:t>
      </w:r>
    </w:p>
    <w:p w:rsidR="00290E30" w:rsidRPr="006119B7" w:rsidRDefault="00290E30" w:rsidP="00783C53">
      <w:pPr>
        <w:pStyle w:val="Akapitzlist"/>
        <w:numPr>
          <w:ilvl w:val="1"/>
          <w:numId w:val="25"/>
        </w:numPr>
        <w:ind w:right="50"/>
        <w:rPr>
          <w:rFonts w:ascii="Calibri" w:hAnsi="Calibri" w:cs="Calibri"/>
        </w:rPr>
      </w:pPr>
      <w:r w:rsidRPr="006119B7">
        <w:rPr>
          <w:rFonts w:ascii="Calibri" w:hAnsi="Calibri" w:cs="Calibri"/>
        </w:rPr>
        <w:t>Wykonawca nie podlega wykluczeniu w okolicznościach określonych w art. 108 ust. 1 pkt 1, 2,  i 5, jeżeli udowodni Zamawiającemu, że spełnił łącznie następujące przesłanki:</w:t>
      </w:r>
      <w:r w:rsidRPr="006119B7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zerwał wszelkie powiązania z osobami lub podmiotami odpowiedzialnymi za nieprawidłowe postępowanie Wykonawcy,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zreorganizował personel,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wdrożył system sprawozdawczości i kontroli,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6119B7" w:rsidRDefault="001845F3" w:rsidP="00783C53">
      <w:pPr>
        <w:pStyle w:val="Akapitzlist"/>
        <w:numPr>
          <w:ilvl w:val="1"/>
          <w:numId w:val="25"/>
        </w:numPr>
        <w:ind w:left="567" w:right="50" w:hanging="44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90E30" w:rsidRPr="006119B7">
        <w:rPr>
          <w:rFonts w:ascii="Calibri" w:hAnsi="Calibri" w:cs="Calibri"/>
        </w:rPr>
        <w:t xml:space="preserve">Zamawiający ocenia, czy podjęte przez wykonawcę czynności, o których mowa w pkt. </w:t>
      </w:r>
      <w:r w:rsidR="00550F66">
        <w:rPr>
          <w:rFonts w:ascii="Calibri" w:hAnsi="Calibri" w:cs="Calibri"/>
        </w:rPr>
        <w:t>8.</w:t>
      </w:r>
      <w:r w:rsidR="00290E30" w:rsidRPr="006119B7">
        <w:rPr>
          <w:rFonts w:ascii="Calibri" w:hAnsi="Calibri" w:cs="Calibri"/>
        </w:rPr>
        <w:t xml:space="preserve">4. są wystarczające do wykazania jego rzetelności, uwzględniając wagę i szczególne okoliczności czynu wykonawcy. Jeżeli podjęte przez wykonawcę czynności nie są wystarczające do wykazania jego rzetelności, zamawiający wyklucza wykonawcę.  </w:t>
      </w:r>
      <w:r w:rsidR="00290E30" w:rsidRPr="006119B7">
        <w:rPr>
          <w:rFonts w:ascii="Calibri" w:hAnsi="Calibri" w:cs="Calibri"/>
          <w:b/>
        </w:rPr>
        <w:t xml:space="preserve"> </w:t>
      </w:r>
    </w:p>
    <w:p w:rsidR="00D50453" w:rsidRPr="00216644" w:rsidRDefault="00D50453" w:rsidP="00D50453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783C53">
      <w:pPr>
        <w:numPr>
          <w:ilvl w:val="0"/>
          <w:numId w:val="20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 w:rsidR="006924E1"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i spełnianie warunków udziału w postępowaniu na dzień składania ofert.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Jeżeli jest to niezbędne do zapewnienia odpowiedniego przebiegu postępowania 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zamówienia, Zamawiający może na każdym etapie postępowania wezwać Wykonawców do złożenia wszystkich lub niektórych podmiotowych środków dowodowych, aktualnych na dzień ich złożenia.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   </w:t>
      </w:r>
    </w:p>
    <w:p w:rsidR="00D50453" w:rsidRPr="00216644" w:rsidRDefault="00D50453" w:rsidP="007F53B1">
      <w:pPr>
        <w:numPr>
          <w:ilvl w:val="1"/>
          <w:numId w:val="5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D50453" w:rsidRPr="00216644" w:rsidRDefault="00D50453" w:rsidP="007F53B1">
      <w:pPr>
        <w:numPr>
          <w:ilvl w:val="1"/>
          <w:numId w:val="5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nie jest zobowiązany do złożenia podmiotowych środków dowodowych, które Zamawiający posiada, jeżeli Wykonawca wskaże te środki oraz potwierdzi ich prawidłowość i aktualność. 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783C53">
      <w:pPr>
        <w:pStyle w:val="Akapitzlist"/>
        <w:numPr>
          <w:ilvl w:val="0"/>
          <w:numId w:val="5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997A60">
      <w:pPr>
        <w:pStyle w:val="Akapitzlist"/>
        <w:numPr>
          <w:ilvl w:val="1"/>
          <w:numId w:val="5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997A60">
      <w:pPr>
        <w:pStyle w:val="Akapitzlist"/>
        <w:numPr>
          <w:ilvl w:val="1"/>
          <w:numId w:val="5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997A60">
      <w:pPr>
        <w:pStyle w:val="Akapitzlist"/>
        <w:numPr>
          <w:ilvl w:val="1"/>
          <w:numId w:val="5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997A60">
      <w:pPr>
        <w:pStyle w:val="Akapitzlist"/>
        <w:numPr>
          <w:ilvl w:val="0"/>
          <w:numId w:val="26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997A60">
      <w:pPr>
        <w:pStyle w:val="Akapitzlist"/>
        <w:numPr>
          <w:ilvl w:val="0"/>
          <w:numId w:val="26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997A60">
      <w:pPr>
        <w:spacing w:after="135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997A60">
      <w:pPr>
        <w:spacing w:after="127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997A60">
      <w:pPr>
        <w:spacing w:after="12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D50453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lastRenderedPageBreak/>
        <w:t>10.13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997A60">
      <w:pPr>
        <w:pStyle w:val="Akapitzlist"/>
        <w:numPr>
          <w:ilvl w:val="0"/>
          <w:numId w:val="7"/>
        </w:numPr>
        <w:spacing w:after="127" w:line="271" w:lineRule="auto"/>
        <w:ind w:left="709" w:right="43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</w:t>
      </w:r>
      <w:r w:rsidR="006924E1">
        <w:rPr>
          <w:rFonts w:ascii="Calibri" w:hAnsi="Calibri" w:cs="Calibri"/>
        </w:rPr>
        <w:t>wie art. 108 ust. 1 ustawy Pzp.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</w:p>
    <w:p w:rsidR="00DE40DC" w:rsidRPr="00163204" w:rsidRDefault="00E57031" w:rsidP="00A542AD">
      <w:pPr>
        <w:pStyle w:val="Akapitzlist"/>
        <w:numPr>
          <w:ilvl w:val="0"/>
          <w:numId w:val="7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163204" w:rsidRDefault="00E57031" w:rsidP="002B4E93">
      <w:pPr>
        <w:numPr>
          <w:ilvl w:val="0"/>
          <w:numId w:val="7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2B4E93">
      <w:pPr>
        <w:pStyle w:val="Akapitzlist"/>
        <w:numPr>
          <w:ilvl w:val="1"/>
          <w:numId w:val="27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2B4E93">
      <w:pPr>
        <w:pStyle w:val="Akapitzlist"/>
        <w:numPr>
          <w:ilvl w:val="1"/>
          <w:numId w:val="27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B15D46">
        <w:rPr>
          <w:rFonts w:ascii="Calibri" w:hAnsi="Calibri" w:cs="Calibri"/>
        </w:rPr>
        <w:t xml:space="preserve"> referencyjny postępowania tj. 4</w:t>
      </w:r>
      <w:r w:rsidR="00941A6F">
        <w:rPr>
          <w:rFonts w:ascii="Calibri" w:hAnsi="Calibri" w:cs="Calibri"/>
        </w:rPr>
        <w:t>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783C53">
      <w:pPr>
        <w:pStyle w:val="Akapitzlist"/>
        <w:numPr>
          <w:ilvl w:val="2"/>
          <w:numId w:val="27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783C53">
      <w:pPr>
        <w:pStyle w:val="Akapitzlist"/>
        <w:numPr>
          <w:ilvl w:val="2"/>
          <w:numId w:val="27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</w:rPr>
        <w:lastRenderedPageBreak/>
        <w:t>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2B4E93" w:rsidRDefault="002A0D46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2B4E93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783C5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59678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Benedykt Bogucki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783C5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54793F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Wykonawca może złożyć </w:t>
      </w:r>
      <w:r w:rsidR="0059678F">
        <w:rPr>
          <w:rFonts w:ascii="Calibri" w:hAnsi="Calibri" w:cs="Calibri"/>
        </w:rPr>
        <w:t>jedną ofertę.</w:t>
      </w:r>
      <w:r w:rsidR="00865F03" w:rsidRPr="00865F03">
        <w:rPr>
          <w:rFonts w:ascii="Calibri" w:hAnsi="Calibri" w:cs="Calibri"/>
        </w:rPr>
        <w:t xml:space="preserve">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783C53">
      <w:pPr>
        <w:pStyle w:val="Akapitzlist"/>
        <w:numPr>
          <w:ilvl w:val="0"/>
          <w:numId w:val="10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783C53">
      <w:pPr>
        <w:pStyle w:val="Akapitzlist"/>
        <w:numPr>
          <w:ilvl w:val="0"/>
          <w:numId w:val="10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783C53">
      <w:pPr>
        <w:pStyle w:val="Akapitzlist"/>
        <w:numPr>
          <w:ilvl w:val="0"/>
          <w:numId w:val="11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783C53">
      <w:pPr>
        <w:pStyle w:val="Akapitzlist"/>
        <w:numPr>
          <w:ilvl w:val="0"/>
          <w:numId w:val="11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783C53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783C53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</w:t>
      </w:r>
      <w:r w:rsidRPr="00216644">
        <w:rPr>
          <w:rFonts w:ascii="Calibri" w:hAnsi="Calibri" w:cs="Calibri"/>
        </w:rPr>
        <w:lastRenderedPageBreak/>
        <w:t xml:space="preserve">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ppkt. 2 powyżej, dokonuje notariusz lub: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2D53C4" w:rsidRPr="002D53C4" w:rsidRDefault="002D53C4" w:rsidP="00B703AF">
      <w:pPr>
        <w:pStyle w:val="Akapitzlist"/>
        <w:numPr>
          <w:ilvl w:val="0"/>
          <w:numId w:val="14"/>
        </w:numPr>
        <w:ind w:left="1276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B703AF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</w:t>
      </w:r>
      <w:r w:rsidRPr="00216644">
        <w:rPr>
          <w:rFonts w:ascii="Calibri" w:hAnsi="Calibri" w:cs="Calibri"/>
        </w:rPr>
        <w:lastRenderedPageBreak/>
        <w:t xml:space="preserve">umocowanie do reprezentowania Wykonawcy (np. umowa o współdziałaniu). </w:t>
      </w:r>
      <w:r w:rsidRPr="00B703AF">
        <w:rPr>
          <w:rFonts w:ascii="Calibri" w:hAnsi="Calibri" w:cs="Calibri"/>
        </w:rPr>
        <w:t xml:space="preserve">Pełnomocnik </w:t>
      </w:r>
      <w:r w:rsidRPr="00B703AF">
        <w:rPr>
          <w:rFonts w:ascii="Calibri" w:hAnsi="Calibri" w:cs="Calibri"/>
        </w:rPr>
        <w:tab/>
        <w:t xml:space="preserve">może </w:t>
      </w:r>
      <w:r w:rsidRPr="00B703AF">
        <w:rPr>
          <w:rFonts w:ascii="Calibri" w:hAnsi="Calibri" w:cs="Calibri"/>
        </w:rPr>
        <w:tab/>
        <w:t xml:space="preserve">być </w:t>
      </w:r>
      <w:r w:rsidRPr="00B703AF">
        <w:rPr>
          <w:rFonts w:ascii="Calibri" w:hAnsi="Calibri" w:cs="Calibri"/>
        </w:rPr>
        <w:tab/>
        <w:t>us</w:t>
      </w:r>
      <w:r w:rsidR="00B703AF">
        <w:rPr>
          <w:rFonts w:ascii="Calibri" w:hAnsi="Calibri" w:cs="Calibri"/>
        </w:rPr>
        <w:t xml:space="preserve">tanowiony </w:t>
      </w:r>
      <w:r w:rsidR="00B703AF">
        <w:rPr>
          <w:rFonts w:ascii="Calibri" w:hAnsi="Calibri" w:cs="Calibri"/>
        </w:rPr>
        <w:tab/>
        <w:t xml:space="preserve">do </w:t>
      </w:r>
      <w:r w:rsidR="00B703AF">
        <w:rPr>
          <w:rFonts w:ascii="Calibri" w:hAnsi="Calibri" w:cs="Calibri"/>
        </w:rPr>
        <w:tab/>
        <w:t xml:space="preserve">reprezentowania </w:t>
      </w:r>
      <w:r w:rsidR="00255FA9" w:rsidRPr="00B703AF">
        <w:rPr>
          <w:rFonts w:ascii="Calibri" w:hAnsi="Calibri" w:cs="Calibri"/>
        </w:rPr>
        <w:t xml:space="preserve">Wykonawców </w:t>
      </w:r>
      <w:r w:rsidRPr="00B703AF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B703AF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B703AF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B703AF">
        <w:rPr>
          <w:rFonts w:ascii="Calibri" w:hAnsi="Calibri" w:cs="Calibri"/>
          <w:color w:val="000000" w:themeColor="text1"/>
        </w:rPr>
        <w:t xml:space="preserve">pkt. </w:t>
      </w:r>
      <w:r w:rsidR="00244E36" w:rsidRPr="00B703AF">
        <w:rPr>
          <w:rFonts w:ascii="Calibri" w:hAnsi="Calibri" w:cs="Calibri"/>
          <w:color w:val="000000" w:themeColor="text1"/>
        </w:rPr>
        <w:t>15.</w:t>
      </w:r>
      <w:r w:rsidR="002D53C4" w:rsidRPr="00B703AF">
        <w:rPr>
          <w:rFonts w:ascii="Calibri" w:hAnsi="Calibri" w:cs="Calibri"/>
          <w:color w:val="000000" w:themeColor="text1"/>
        </w:rPr>
        <w:t>16 ust. 3</w:t>
      </w:r>
      <w:r w:rsidRPr="00B703AF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A7265" w:rsidRPr="00B15D46" w:rsidRDefault="008A7265" w:rsidP="00B15D46">
      <w:pPr>
        <w:ind w:left="0" w:right="50" w:firstLine="0"/>
        <w:rPr>
          <w:rFonts w:ascii="Calibri" w:hAnsi="Calibri" w:cs="Calibri"/>
        </w:rPr>
      </w:pP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BE6438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BE6438">
      <w:pPr>
        <w:spacing w:after="148" w:line="247" w:lineRule="auto"/>
        <w:ind w:left="567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BE6438">
      <w:pPr>
        <w:spacing w:after="148" w:line="247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9B517E">
        <w:rPr>
          <w:rFonts w:ascii="Calibri" w:hAnsi="Calibri" w:cs="Calibri"/>
          <w:b/>
        </w:rPr>
        <w:t>27</w:t>
      </w:r>
      <w:r w:rsidR="0059678F">
        <w:rPr>
          <w:rFonts w:ascii="Calibri" w:hAnsi="Calibri" w:cs="Calibri"/>
          <w:b/>
        </w:rPr>
        <w:t xml:space="preserve"> maja</w:t>
      </w:r>
      <w:r w:rsidR="00941A6F">
        <w:rPr>
          <w:rFonts w:ascii="Calibri" w:hAnsi="Calibri" w:cs="Calibri"/>
          <w:b/>
        </w:rPr>
        <w:t xml:space="preserve"> 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BE6438">
      <w:pPr>
        <w:spacing w:after="148" w:line="247" w:lineRule="auto"/>
        <w:ind w:hanging="131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BE6438">
      <w:pPr>
        <w:spacing w:after="148"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54793F" w:rsidRDefault="0014088F" w:rsidP="00AB3196">
      <w:pPr>
        <w:spacing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AB3196" w:rsidRPr="00AB3196" w:rsidRDefault="00AB3196" w:rsidP="00AB3196">
      <w:pPr>
        <w:spacing w:line="247" w:lineRule="auto"/>
        <w:ind w:left="567" w:right="55" w:hanging="567"/>
        <w:rPr>
          <w:rFonts w:ascii="Calibri" w:hAnsi="Calibri" w:cs="Calibri"/>
        </w:rPr>
      </w:pPr>
    </w:p>
    <w:p w:rsidR="00865F03" w:rsidRPr="0014088F" w:rsidRDefault="00865F03" w:rsidP="00AB3196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9B517E">
        <w:rPr>
          <w:rFonts w:ascii="Calibri" w:hAnsi="Calibri" w:cs="Calibri"/>
          <w:b/>
        </w:rPr>
        <w:t>27</w:t>
      </w:r>
      <w:r w:rsidR="0059678F">
        <w:rPr>
          <w:rFonts w:ascii="Calibri" w:hAnsi="Calibri" w:cs="Calibri"/>
          <w:b/>
        </w:rPr>
        <w:t xml:space="preserve"> maja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lastRenderedPageBreak/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783C53">
      <w:pPr>
        <w:numPr>
          <w:ilvl w:val="3"/>
          <w:numId w:val="15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783C53">
      <w:pPr>
        <w:numPr>
          <w:ilvl w:val="3"/>
          <w:numId w:val="15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AB3196">
      <w:pPr>
        <w:spacing w:after="148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7704D2" w:rsidRDefault="0014088F" w:rsidP="00D94595">
      <w:pPr>
        <w:spacing w:after="110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</w:t>
      </w:r>
      <w:r w:rsidR="00101333">
        <w:rPr>
          <w:rFonts w:ascii="Calibri" w:hAnsi="Calibri" w:cs="Calibri"/>
        </w:rPr>
        <w:t xml:space="preserve"> internetowej prowadzonego postę</w:t>
      </w:r>
      <w:r w:rsidR="00865F03" w:rsidRPr="00216644">
        <w:rPr>
          <w:rFonts w:ascii="Calibri" w:hAnsi="Calibri" w:cs="Calibri"/>
        </w:rPr>
        <w:t>powania.</w:t>
      </w:r>
    </w:p>
    <w:p w:rsidR="00D94595" w:rsidRPr="00D94595" w:rsidRDefault="00D94595" w:rsidP="00D94595">
      <w:pPr>
        <w:spacing w:after="110" w:line="240" w:lineRule="auto"/>
        <w:ind w:left="567" w:hanging="567"/>
        <w:rPr>
          <w:rFonts w:ascii="Calibri" w:hAnsi="Calibri" w:cs="Calibri"/>
        </w:rPr>
      </w:pPr>
    </w:p>
    <w:p w:rsidR="00865F03" w:rsidRPr="0014088F" w:rsidRDefault="00865F03" w:rsidP="0010133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704D2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D0C8B" w:rsidRPr="00216644" w:rsidRDefault="00DD0C8B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DD0C8B">
      <w:pPr>
        <w:pStyle w:val="Akapitzlist"/>
        <w:numPr>
          <w:ilvl w:val="0"/>
          <w:numId w:val="7"/>
        </w:numPr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lastRenderedPageBreak/>
        <w:t xml:space="preserve">WYMAGANIA DOTYCZĄCE WADIUM </w:t>
      </w:r>
    </w:p>
    <w:p w:rsidR="00827B38" w:rsidRPr="00216644" w:rsidRDefault="004768F6" w:rsidP="009B517E">
      <w:pPr>
        <w:spacing w:after="133" w:line="271" w:lineRule="auto"/>
        <w:ind w:right="48" w:firstLine="862"/>
        <w:rPr>
          <w:rFonts w:ascii="Calibri" w:hAnsi="Calibri" w:cs="Calibri"/>
        </w:rPr>
      </w:pPr>
      <w:r>
        <w:rPr>
          <w:rFonts w:ascii="Calibri" w:hAnsi="Calibri" w:cs="Calibri"/>
        </w:rPr>
        <w:t>Zamawiający nie wymaga wniesienia wadium.</w:t>
      </w:r>
    </w:p>
    <w:p w:rsidR="00C80FBC" w:rsidRPr="00A15A4D" w:rsidRDefault="000C52EF" w:rsidP="00DD0C8B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 w:rsidR="00DD0C8B"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9B517E">
        <w:rPr>
          <w:rFonts w:ascii="Calibri" w:hAnsi="Calibri" w:cs="Calibri"/>
        </w:rPr>
        <w:t>25</w:t>
      </w:r>
      <w:r w:rsidR="00827B38">
        <w:rPr>
          <w:rFonts w:ascii="Calibri" w:hAnsi="Calibri" w:cs="Calibri"/>
        </w:rPr>
        <w:t>.06</w:t>
      </w:r>
      <w:r w:rsidR="00CB2365" w:rsidRPr="00A15A4D">
        <w:rPr>
          <w:rFonts w:ascii="Calibri" w:hAnsi="Calibri" w:cs="Calibri"/>
        </w:rPr>
        <w:t>.</w:t>
      </w:r>
      <w:r w:rsidR="00430AA5">
        <w:rPr>
          <w:rFonts w:ascii="Calibri" w:hAnsi="Calibri" w:cs="Calibri"/>
        </w:rPr>
        <w:t>2022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DD0C8B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DD0C8B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</w:t>
      </w:r>
      <w:r w:rsidR="00827B38">
        <w:rPr>
          <w:rFonts w:ascii="Calibri" w:hAnsi="Calibri" w:cs="Calibri"/>
          <w:color w:val="auto"/>
          <w:szCs w:val="24"/>
        </w:rPr>
        <w:t>kryterium:</w:t>
      </w:r>
    </w:p>
    <w:p w:rsidR="0005573A" w:rsidRPr="0005573A" w:rsidRDefault="0005573A" w:rsidP="00783C53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827B3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827B3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827B38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  <w:r w:rsidR="0005573A"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827B38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  <w:tr w:rsidR="0005573A" w:rsidRPr="0005573A" w:rsidTr="00827B38">
        <w:trPr>
          <w:trHeight w:val="335"/>
          <w:jc w:val="center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</w:t>
      </w:r>
      <w:r w:rsidR="00827B38">
        <w:rPr>
          <w:rFonts w:ascii="Calibri" w:hAnsi="Calibri" w:cs="Calibri"/>
          <w:color w:val="auto"/>
          <w:szCs w:val="24"/>
        </w:rPr>
        <w:t>awcy w kryterium cena oferty – 10</w:t>
      </w:r>
      <w:r w:rsidRPr="0005573A">
        <w:rPr>
          <w:rFonts w:ascii="Calibri" w:hAnsi="Calibri" w:cs="Calibri"/>
          <w:color w:val="auto"/>
          <w:szCs w:val="24"/>
        </w:rPr>
        <w:t>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</w:t>
      </w:r>
      <w:r w:rsidR="00827B38">
        <w:rPr>
          <w:rFonts w:ascii="Calibri" w:hAnsi="Calibri" w:cs="Calibri"/>
          <w:color w:val="auto"/>
          <w:szCs w:val="24"/>
        </w:rPr>
        <w:t>aksymalną ilość punktów, czyli 10</w:t>
      </w:r>
      <w:r w:rsidRPr="0005573A">
        <w:rPr>
          <w:rFonts w:ascii="Calibri" w:hAnsi="Calibri" w:cs="Calibri"/>
          <w:color w:val="auto"/>
          <w:szCs w:val="24"/>
        </w:rPr>
        <w:t>0 pkt.</w:t>
      </w:r>
    </w:p>
    <w:p w:rsidR="00827B38" w:rsidRPr="0005573A" w:rsidRDefault="0005573A" w:rsidP="00D44326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="00827B38">
        <w:rPr>
          <w:rFonts w:ascii="Calibri" w:hAnsi="Calibri" w:cs="Calibri"/>
          <w:b/>
          <w:color w:val="auto"/>
          <w:szCs w:val="24"/>
        </w:rPr>
        <w:t>x 10</w:t>
      </w:r>
      <w:r w:rsidRPr="0005573A">
        <w:rPr>
          <w:rFonts w:ascii="Calibri" w:hAnsi="Calibri" w:cs="Calibri"/>
          <w:b/>
          <w:color w:val="auto"/>
          <w:szCs w:val="24"/>
        </w:rPr>
        <w:t>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6924E1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474ACC" w:rsidRDefault="006924E1" w:rsidP="006924E1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  <w:r w:rsidRPr="006924E1">
        <w:rPr>
          <w:rFonts w:ascii="Calibri" w:hAnsi="Calibri" w:cs="Calibri"/>
          <w:color w:val="auto"/>
          <w:szCs w:val="24"/>
          <w:vertAlign w:val="superscript"/>
        </w:rPr>
        <w:t xml:space="preserve">     </w:t>
      </w:r>
      <w:r w:rsidRPr="006924E1">
        <w:rPr>
          <w:rFonts w:ascii="Calibri" w:hAnsi="Calibri" w:cs="Calibri"/>
          <w:color w:val="auto"/>
          <w:szCs w:val="24"/>
        </w:rPr>
        <w:t xml:space="preserve">Maksymalną ilość punktów w ww. kryterium otrzyma oferta z najniższą ceną brutto. </w:t>
      </w:r>
    </w:p>
    <w:p w:rsidR="006924E1" w:rsidRPr="006924E1" w:rsidRDefault="006924E1" w:rsidP="006924E1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</w:p>
    <w:p w:rsidR="004176DF" w:rsidRPr="00AD5F86" w:rsidRDefault="004176DF" w:rsidP="00783C53">
      <w:pPr>
        <w:numPr>
          <w:ilvl w:val="0"/>
          <w:numId w:val="9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72CF0" w:rsidRDefault="00430AA5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FC7996" w:rsidRPr="00FC7996" w:rsidRDefault="00FC7996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FC7996" w:rsidRPr="00D94595" w:rsidRDefault="002F11B9" w:rsidP="00D94595">
      <w:pPr>
        <w:pStyle w:val="Akapitzlist"/>
        <w:numPr>
          <w:ilvl w:val="0"/>
          <w:numId w:val="9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zawiera umowę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w sprawie zamówienia</w:t>
      </w:r>
      <w:r w:rsidR="00474ACC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zawiadomienie to zostało przesłane przy użyciu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środk</w:t>
      </w:r>
      <w:r w:rsidRPr="00FC7996">
        <w:rPr>
          <w:rFonts w:ascii="Calibri" w:eastAsia="Arial" w:hAnsi="Calibri" w:cs="Calibri"/>
        </w:rPr>
        <w:t>ó</w:t>
      </w:r>
      <w:r w:rsidRPr="00FC7996">
        <w:rPr>
          <w:rFonts w:ascii="Calibri" w:eastAsia="Trebuchet MS" w:hAnsi="Calibri" w:cs="Calibri"/>
        </w:rPr>
        <w:t>w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komunikacji elektronicznej, albo 10 dni,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DD0C8B">
      <w:pPr>
        <w:pStyle w:val="Akapitzlist"/>
        <w:numPr>
          <w:ilvl w:val="0"/>
          <w:numId w:val="9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827B38">
        <w:rPr>
          <w:rFonts w:ascii="Calibri" w:hAnsi="Calibri" w:cs="Calibri"/>
        </w:rPr>
        <w:t xml:space="preserve">nie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DD0C8B">
      <w:pPr>
        <w:pStyle w:val="Akapitzlist"/>
        <w:numPr>
          <w:ilvl w:val="0"/>
          <w:numId w:val="9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B15D46" w:rsidRDefault="00B15D4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</w:p>
    <w:p w:rsidR="009B517E" w:rsidRDefault="009B517E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</w:p>
    <w:p w:rsidR="009B517E" w:rsidRPr="00AD5F86" w:rsidRDefault="009B517E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bookmarkStart w:id="0" w:name="_GoBack"/>
      <w:bookmarkEnd w:id="0"/>
    </w:p>
    <w:p w:rsidR="002F11B9" w:rsidRPr="00216644" w:rsidRDefault="00B54BB8" w:rsidP="00DD0C8B">
      <w:pPr>
        <w:numPr>
          <w:ilvl w:val="0"/>
          <w:numId w:val="9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lastRenderedPageBreak/>
        <w:t>POUCZENIE O ŚRODKACH OCHRONY PRAWNEJ PRZYSŁUGUJĄCYCH WYKONAWCY</w:t>
      </w:r>
    </w:p>
    <w:p w:rsidR="00B54BB8" w:rsidRPr="006572A5" w:rsidRDefault="00B54BB8" w:rsidP="00DD0C8B">
      <w:pPr>
        <w:pStyle w:val="Akapitzlist"/>
        <w:numPr>
          <w:ilvl w:val="1"/>
          <w:numId w:val="9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DD0C8B">
      <w:pPr>
        <w:pStyle w:val="Akapitzlist"/>
        <w:numPr>
          <w:ilvl w:val="1"/>
          <w:numId w:val="9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783C53">
      <w:pPr>
        <w:pStyle w:val="Akapitzlist"/>
        <w:numPr>
          <w:ilvl w:val="0"/>
          <w:numId w:val="17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783C53">
      <w:pPr>
        <w:pStyle w:val="Akapitzlist"/>
        <w:numPr>
          <w:ilvl w:val="0"/>
          <w:numId w:val="17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DD0C8B">
      <w:pPr>
        <w:pStyle w:val="Akapitzlist"/>
        <w:numPr>
          <w:ilvl w:val="1"/>
          <w:numId w:val="31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DD0C8B">
      <w:pPr>
        <w:pStyle w:val="Akapitzlist"/>
        <w:numPr>
          <w:ilvl w:val="1"/>
          <w:numId w:val="31"/>
        </w:numPr>
        <w:spacing w:after="110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D44326" w:rsidRPr="00216644" w:rsidRDefault="00D44326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DD0C8B">
      <w:pPr>
        <w:numPr>
          <w:ilvl w:val="0"/>
          <w:numId w:val="31"/>
        </w:numPr>
        <w:spacing w:after="133" w:line="271" w:lineRule="auto"/>
        <w:ind w:left="426" w:right="48" w:hanging="284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DD0C8B">
      <w:pPr>
        <w:pStyle w:val="Akapitzlist"/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11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783C53">
      <w:pPr>
        <w:pStyle w:val="Akapitzlist"/>
        <w:numPr>
          <w:ilvl w:val="0"/>
          <w:numId w:val="19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002345" w:rsidRPr="00DD0C8B" w:rsidRDefault="00D82595" w:rsidP="00DD0C8B">
      <w:pPr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E93F2A" w:rsidRPr="00216644" w:rsidRDefault="00E93F2A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DD0C8B">
      <w:pPr>
        <w:numPr>
          <w:ilvl w:val="0"/>
          <w:numId w:val="31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002345" w:rsidRPr="0074282C" w:rsidRDefault="0074282C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A9" w:rsidRDefault="008110A9">
      <w:pPr>
        <w:spacing w:after="0" w:line="240" w:lineRule="auto"/>
      </w:pPr>
      <w:r>
        <w:separator/>
      </w:r>
    </w:p>
  </w:endnote>
  <w:endnote w:type="continuationSeparator" w:id="0">
    <w:p w:rsidR="008110A9" w:rsidRDefault="0081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517E">
      <w:rPr>
        <w:noProof/>
      </w:rPr>
      <w:t>18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517E">
      <w:rPr>
        <w:noProof/>
      </w:rPr>
      <w:t>19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A9" w:rsidRDefault="008110A9">
      <w:pPr>
        <w:spacing w:after="0" w:line="240" w:lineRule="auto"/>
      </w:pPr>
      <w:r>
        <w:separator/>
      </w:r>
    </w:p>
  </w:footnote>
  <w:footnote w:type="continuationSeparator" w:id="0">
    <w:p w:rsidR="008110A9" w:rsidRDefault="0081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FD2E4C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4</w:t>
    </w:r>
    <w:r w:rsidR="004C0DA9" w:rsidRPr="0074282C">
      <w:rPr>
        <w:rFonts w:ascii="Calibri" w:hAnsi="Calibri" w:cs="Calibri"/>
        <w:b/>
        <w:sz w:val="20"/>
        <w:szCs w:val="20"/>
      </w:rPr>
      <w:t>/2022</w:t>
    </w:r>
  </w:p>
  <w:p w:rsidR="004C0DA9" w:rsidRDefault="004C0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FD2E4C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4</w:t>
    </w:r>
    <w:r w:rsidR="004C0DA9">
      <w:rPr>
        <w:rFonts w:ascii="Calibri" w:hAnsi="Calibri" w:cs="Calibri"/>
        <w:b/>
        <w:sz w:val="20"/>
        <w:szCs w:val="20"/>
      </w:rPr>
      <w:t>/</w:t>
    </w:r>
    <w:r w:rsidR="004C0DA9" w:rsidRPr="0074282C">
      <w:rPr>
        <w:rFonts w:ascii="Calibri" w:hAnsi="Calibri" w:cs="Calibri"/>
        <w:b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1C77029"/>
    <w:multiLevelType w:val="hybridMultilevel"/>
    <w:tmpl w:val="121AE4AE"/>
    <w:lvl w:ilvl="0" w:tplc="9DB47544">
      <w:start w:val="1"/>
      <w:numFmt w:val="upperRoman"/>
      <w:lvlText w:val="%1."/>
      <w:lvlJc w:val="right"/>
      <w:pPr>
        <w:ind w:left="360" w:hanging="360"/>
      </w:pPr>
      <w:rPr>
        <w:rFonts w:ascii="Cambria" w:hAnsi="Cambria" w:cs="Times New Roman" w:hint="default"/>
        <w:b/>
        <w:i w:val="0"/>
        <w:color w:val="000000" w:themeColor="text1"/>
        <w:sz w:val="28"/>
      </w:rPr>
    </w:lvl>
    <w:lvl w:ilvl="1" w:tplc="72AA882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AE9E6EB2">
      <w:start w:val="1"/>
      <w:numFmt w:val="decimal"/>
      <w:lvlText w:val="%3."/>
      <w:lvlJc w:val="left"/>
      <w:pPr>
        <w:ind w:left="2482" w:hanging="720"/>
      </w:pPr>
      <w:rPr>
        <w:rFonts w:ascii="Times New Roman" w:hAnsi="Times New Roman" w:cs="Times New Roman" w:hint="default"/>
        <w:b w:val="0"/>
      </w:rPr>
    </w:lvl>
    <w:lvl w:ilvl="3" w:tplc="FAC04B16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85ACA028">
      <w:start w:val="1"/>
      <w:numFmt w:val="decimal"/>
      <w:lvlText w:val="%5)"/>
      <w:lvlJc w:val="left"/>
      <w:pPr>
        <w:ind w:left="3382" w:hanging="360"/>
      </w:pPr>
    </w:lvl>
    <w:lvl w:ilvl="5" w:tplc="B6E61480">
      <w:start w:val="2"/>
      <w:numFmt w:val="bullet"/>
      <w:lvlText w:val="-"/>
      <w:lvlJc w:val="left"/>
      <w:pPr>
        <w:ind w:left="4282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7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8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1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531B84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AE0D50"/>
    <w:multiLevelType w:val="multilevel"/>
    <w:tmpl w:val="1A3238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4" w15:restartNumberingAfterBreak="0">
    <w:nsid w:val="24DD65B9"/>
    <w:multiLevelType w:val="hybridMultilevel"/>
    <w:tmpl w:val="76EA9078"/>
    <w:lvl w:ilvl="0" w:tplc="EC868F06">
      <w:start w:val="1"/>
      <w:numFmt w:val="lowerLetter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A8734C5"/>
    <w:multiLevelType w:val="hybridMultilevel"/>
    <w:tmpl w:val="6C42B4F6"/>
    <w:lvl w:ilvl="0" w:tplc="AB463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CB66BB"/>
    <w:multiLevelType w:val="hybridMultilevel"/>
    <w:tmpl w:val="025E3EEE"/>
    <w:lvl w:ilvl="0" w:tplc="6B3A26AC">
      <w:start w:val="1"/>
      <w:numFmt w:val="upperLetter"/>
      <w:lvlText w:val="%1."/>
      <w:lvlJc w:val="left"/>
      <w:pPr>
        <w:ind w:left="2203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93BB4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abstractNum w:abstractNumId="22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4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5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6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8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30" w15:restartNumberingAfterBreak="0">
    <w:nsid w:val="51B85345"/>
    <w:multiLevelType w:val="hybridMultilevel"/>
    <w:tmpl w:val="22F6AF6A"/>
    <w:lvl w:ilvl="0" w:tplc="E31E815A">
      <w:start w:val="1"/>
      <w:numFmt w:val="decimal"/>
      <w:lvlText w:val="%1)"/>
      <w:lvlJc w:val="left"/>
      <w:pPr>
        <w:ind w:left="56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2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705883"/>
    <w:multiLevelType w:val="multilevel"/>
    <w:tmpl w:val="AEB87D18"/>
    <w:lvl w:ilvl="0">
      <w:start w:val="9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1F5E93"/>
    <w:multiLevelType w:val="hybridMultilevel"/>
    <w:tmpl w:val="CFD4A7FA"/>
    <w:lvl w:ilvl="0" w:tplc="530E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64874E62"/>
    <w:multiLevelType w:val="hybridMultilevel"/>
    <w:tmpl w:val="65A274E6"/>
    <w:lvl w:ilvl="0" w:tplc="0E149752">
      <w:start w:val="1"/>
      <w:numFmt w:val="decimal"/>
      <w:lvlText w:val="%1)"/>
      <w:lvlJc w:val="left"/>
      <w:pPr>
        <w:ind w:left="106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32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B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6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7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83D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1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A3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AA3D11"/>
    <w:multiLevelType w:val="multilevel"/>
    <w:tmpl w:val="58041A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9" w15:restartNumberingAfterBreak="0">
    <w:nsid w:val="6A4701F6"/>
    <w:multiLevelType w:val="hybridMultilevel"/>
    <w:tmpl w:val="E71A6910"/>
    <w:lvl w:ilvl="0" w:tplc="F6B87B7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7141B8"/>
    <w:multiLevelType w:val="hybridMultilevel"/>
    <w:tmpl w:val="213A2556"/>
    <w:lvl w:ilvl="0" w:tplc="E3D4DD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3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6C698E"/>
    <w:multiLevelType w:val="hybridMultilevel"/>
    <w:tmpl w:val="882A382A"/>
    <w:lvl w:ilvl="0" w:tplc="B38C9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7EE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3CF2">
      <w:start w:val="1"/>
      <w:numFmt w:val="lowerLetter"/>
      <w:lvlRestart w:val="0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C4C96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F2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2238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8B1C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2184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8BE4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2A3709"/>
    <w:multiLevelType w:val="hybridMultilevel"/>
    <w:tmpl w:val="7D26B300"/>
    <w:lvl w:ilvl="0" w:tplc="B7969F74">
      <w:start w:val="1"/>
      <w:numFmt w:val="lowerLetter"/>
      <w:lvlText w:val="%1)"/>
      <w:lvlJc w:val="left"/>
      <w:pPr>
        <w:ind w:left="8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C7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CAB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C087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32F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A8ED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36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2F7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A8D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6"/>
  </w:num>
  <w:num w:numId="2">
    <w:abstractNumId w:val="48"/>
  </w:num>
  <w:num w:numId="3">
    <w:abstractNumId w:val="37"/>
  </w:num>
  <w:num w:numId="4">
    <w:abstractNumId w:val="45"/>
  </w:num>
  <w:num w:numId="5">
    <w:abstractNumId w:val="15"/>
  </w:num>
  <w:num w:numId="6">
    <w:abstractNumId w:val="47"/>
  </w:num>
  <w:num w:numId="7">
    <w:abstractNumId w:val="22"/>
  </w:num>
  <w:num w:numId="8">
    <w:abstractNumId w:val="30"/>
  </w:num>
  <w:num w:numId="9">
    <w:abstractNumId w:val="44"/>
  </w:num>
  <w:num w:numId="10">
    <w:abstractNumId w:val="9"/>
  </w:num>
  <w:num w:numId="11">
    <w:abstractNumId w:val="28"/>
  </w:num>
  <w:num w:numId="12">
    <w:abstractNumId w:val="19"/>
  </w:num>
  <w:num w:numId="13">
    <w:abstractNumId w:val="32"/>
  </w:num>
  <w:num w:numId="14">
    <w:abstractNumId w:val="5"/>
  </w:num>
  <w:num w:numId="15">
    <w:abstractNumId w:val="24"/>
  </w:num>
  <w:num w:numId="16">
    <w:abstractNumId w:val="21"/>
  </w:num>
  <w:num w:numId="17">
    <w:abstractNumId w:val="43"/>
  </w:num>
  <w:num w:numId="18">
    <w:abstractNumId w:val="16"/>
  </w:num>
  <w:num w:numId="19">
    <w:abstractNumId w:val="35"/>
  </w:num>
  <w:num w:numId="20">
    <w:abstractNumId w:val="27"/>
  </w:num>
  <w:num w:numId="21">
    <w:abstractNumId w:val="7"/>
  </w:num>
  <w:num w:numId="22">
    <w:abstractNumId w:val="20"/>
  </w:num>
  <w:num w:numId="23">
    <w:abstractNumId w:val="36"/>
  </w:num>
  <w:num w:numId="24">
    <w:abstractNumId w:val="18"/>
  </w:num>
  <w:num w:numId="25">
    <w:abstractNumId w:val="42"/>
  </w:num>
  <w:num w:numId="26">
    <w:abstractNumId w:val="10"/>
  </w:num>
  <w:num w:numId="27">
    <w:abstractNumId w:val="31"/>
  </w:num>
  <w:num w:numId="28">
    <w:abstractNumId w:val="11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5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3"/>
  </w:num>
  <w:num w:numId="35">
    <w:abstractNumId w:val="26"/>
  </w:num>
  <w:num w:numId="36">
    <w:abstractNumId w:val="38"/>
  </w:num>
  <w:num w:numId="37">
    <w:abstractNumId w:val="4"/>
  </w:num>
  <w:num w:numId="38">
    <w:abstractNumId w:val="12"/>
  </w:num>
  <w:num w:numId="39">
    <w:abstractNumId w:val="41"/>
  </w:num>
  <w:num w:numId="40">
    <w:abstractNumId w:val="14"/>
  </w:num>
  <w:num w:numId="41">
    <w:abstractNumId w:val="33"/>
  </w:num>
  <w:num w:numId="42">
    <w:abstractNumId w:val="23"/>
  </w:num>
  <w:num w:numId="43">
    <w:abstractNumId w:val="3"/>
  </w:num>
  <w:num w:numId="44">
    <w:abstractNumId w:val="39"/>
  </w:num>
  <w:num w:numId="45">
    <w:abstractNumId w:val="17"/>
  </w:num>
  <w:num w:numId="46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4177E"/>
    <w:rsid w:val="00052CB9"/>
    <w:rsid w:val="0005573A"/>
    <w:rsid w:val="0006110C"/>
    <w:rsid w:val="0008287F"/>
    <w:rsid w:val="00091142"/>
    <w:rsid w:val="0009221F"/>
    <w:rsid w:val="000C13BC"/>
    <w:rsid w:val="000C52EF"/>
    <w:rsid w:val="000C550C"/>
    <w:rsid w:val="000E05B6"/>
    <w:rsid w:val="000E1B20"/>
    <w:rsid w:val="000E568E"/>
    <w:rsid w:val="000F22B1"/>
    <w:rsid w:val="00101333"/>
    <w:rsid w:val="001154FC"/>
    <w:rsid w:val="00123FF7"/>
    <w:rsid w:val="00125704"/>
    <w:rsid w:val="00135360"/>
    <w:rsid w:val="001403A5"/>
    <w:rsid w:val="0014088F"/>
    <w:rsid w:val="00152702"/>
    <w:rsid w:val="00163204"/>
    <w:rsid w:val="0016533A"/>
    <w:rsid w:val="001845F3"/>
    <w:rsid w:val="00193E88"/>
    <w:rsid w:val="001A4B2A"/>
    <w:rsid w:val="001B7746"/>
    <w:rsid w:val="001C77EF"/>
    <w:rsid w:val="001E6420"/>
    <w:rsid w:val="001F2C9F"/>
    <w:rsid w:val="00203C26"/>
    <w:rsid w:val="00211812"/>
    <w:rsid w:val="002138FD"/>
    <w:rsid w:val="00213DA7"/>
    <w:rsid w:val="00216644"/>
    <w:rsid w:val="002371FF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F11B9"/>
    <w:rsid w:val="003119D3"/>
    <w:rsid w:val="00330ECF"/>
    <w:rsid w:val="00367491"/>
    <w:rsid w:val="00380D20"/>
    <w:rsid w:val="003B6A34"/>
    <w:rsid w:val="003C5DC8"/>
    <w:rsid w:val="004176DF"/>
    <w:rsid w:val="004224B0"/>
    <w:rsid w:val="00430AA5"/>
    <w:rsid w:val="00433C37"/>
    <w:rsid w:val="00440240"/>
    <w:rsid w:val="0044455B"/>
    <w:rsid w:val="004475B2"/>
    <w:rsid w:val="00455E54"/>
    <w:rsid w:val="00463347"/>
    <w:rsid w:val="00467C1E"/>
    <w:rsid w:val="004740C6"/>
    <w:rsid w:val="00474ACC"/>
    <w:rsid w:val="004768F6"/>
    <w:rsid w:val="00477AF8"/>
    <w:rsid w:val="004865D4"/>
    <w:rsid w:val="0049453E"/>
    <w:rsid w:val="0049516B"/>
    <w:rsid w:val="004952D7"/>
    <w:rsid w:val="004C0DA9"/>
    <w:rsid w:val="004E3C69"/>
    <w:rsid w:val="004E7375"/>
    <w:rsid w:val="004E7474"/>
    <w:rsid w:val="00501785"/>
    <w:rsid w:val="00510476"/>
    <w:rsid w:val="00513A75"/>
    <w:rsid w:val="0051417A"/>
    <w:rsid w:val="00520CC4"/>
    <w:rsid w:val="00536C40"/>
    <w:rsid w:val="0054080D"/>
    <w:rsid w:val="0054793F"/>
    <w:rsid w:val="00550F66"/>
    <w:rsid w:val="00553995"/>
    <w:rsid w:val="00586E4F"/>
    <w:rsid w:val="0059678F"/>
    <w:rsid w:val="0059724F"/>
    <w:rsid w:val="005E35EA"/>
    <w:rsid w:val="005F5176"/>
    <w:rsid w:val="006119B7"/>
    <w:rsid w:val="00636E27"/>
    <w:rsid w:val="00651358"/>
    <w:rsid w:val="006572A5"/>
    <w:rsid w:val="00657A26"/>
    <w:rsid w:val="00661D99"/>
    <w:rsid w:val="006924E1"/>
    <w:rsid w:val="006B158E"/>
    <w:rsid w:val="006B50B2"/>
    <w:rsid w:val="006B5FF4"/>
    <w:rsid w:val="006C0CD8"/>
    <w:rsid w:val="006C2A8D"/>
    <w:rsid w:val="007074C9"/>
    <w:rsid w:val="0071027A"/>
    <w:rsid w:val="00721153"/>
    <w:rsid w:val="007272FA"/>
    <w:rsid w:val="0073059B"/>
    <w:rsid w:val="0074103C"/>
    <w:rsid w:val="0074282C"/>
    <w:rsid w:val="00745551"/>
    <w:rsid w:val="00757206"/>
    <w:rsid w:val="00763301"/>
    <w:rsid w:val="007704D2"/>
    <w:rsid w:val="00776066"/>
    <w:rsid w:val="00782378"/>
    <w:rsid w:val="00783C53"/>
    <w:rsid w:val="00793C74"/>
    <w:rsid w:val="007A3580"/>
    <w:rsid w:val="007B1480"/>
    <w:rsid w:val="007C147F"/>
    <w:rsid w:val="007F428B"/>
    <w:rsid w:val="007F53B1"/>
    <w:rsid w:val="00810A3F"/>
    <w:rsid w:val="008110A9"/>
    <w:rsid w:val="00825518"/>
    <w:rsid w:val="00825A52"/>
    <w:rsid w:val="00827B38"/>
    <w:rsid w:val="00827CF0"/>
    <w:rsid w:val="00854EF9"/>
    <w:rsid w:val="008643EC"/>
    <w:rsid w:val="00865F03"/>
    <w:rsid w:val="00871DC6"/>
    <w:rsid w:val="00876F83"/>
    <w:rsid w:val="00892455"/>
    <w:rsid w:val="008A34C4"/>
    <w:rsid w:val="008A7265"/>
    <w:rsid w:val="008B2714"/>
    <w:rsid w:val="008C40B7"/>
    <w:rsid w:val="008D0CEB"/>
    <w:rsid w:val="008D3049"/>
    <w:rsid w:val="008D31B0"/>
    <w:rsid w:val="008D5F85"/>
    <w:rsid w:val="00910E92"/>
    <w:rsid w:val="00941A6F"/>
    <w:rsid w:val="009667AC"/>
    <w:rsid w:val="00973810"/>
    <w:rsid w:val="0098045B"/>
    <w:rsid w:val="0098328D"/>
    <w:rsid w:val="009940E9"/>
    <w:rsid w:val="00997A60"/>
    <w:rsid w:val="009B517E"/>
    <w:rsid w:val="009B7DBD"/>
    <w:rsid w:val="009C36A4"/>
    <w:rsid w:val="009D1008"/>
    <w:rsid w:val="009D28BD"/>
    <w:rsid w:val="009D4979"/>
    <w:rsid w:val="009D72A3"/>
    <w:rsid w:val="009F501D"/>
    <w:rsid w:val="009F7151"/>
    <w:rsid w:val="00A00BD8"/>
    <w:rsid w:val="00A063B5"/>
    <w:rsid w:val="00A11CAE"/>
    <w:rsid w:val="00A15A4D"/>
    <w:rsid w:val="00A25A8E"/>
    <w:rsid w:val="00A45541"/>
    <w:rsid w:val="00A542AD"/>
    <w:rsid w:val="00A54975"/>
    <w:rsid w:val="00A63719"/>
    <w:rsid w:val="00A64127"/>
    <w:rsid w:val="00A67E8E"/>
    <w:rsid w:val="00AA0306"/>
    <w:rsid w:val="00AB3196"/>
    <w:rsid w:val="00AD4D64"/>
    <w:rsid w:val="00AD5F86"/>
    <w:rsid w:val="00B03169"/>
    <w:rsid w:val="00B15A03"/>
    <w:rsid w:val="00B15D46"/>
    <w:rsid w:val="00B17A35"/>
    <w:rsid w:val="00B31ACD"/>
    <w:rsid w:val="00B44994"/>
    <w:rsid w:val="00B54BB8"/>
    <w:rsid w:val="00B54BC3"/>
    <w:rsid w:val="00B703AF"/>
    <w:rsid w:val="00B72CF0"/>
    <w:rsid w:val="00B81757"/>
    <w:rsid w:val="00B81C0F"/>
    <w:rsid w:val="00B92D50"/>
    <w:rsid w:val="00B942A5"/>
    <w:rsid w:val="00B96C17"/>
    <w:rsid w:val="00BA50B1"/>
    <w:rsid w:val="00BB75BD"/>
    <w:rsid w:val="00BE6438"/>
    <w:rsid w:val="00BF18D9"/>
    <w:rsid w:val="00BF45B3"/>
    <w:rsid w:val="00BF51BD"/>
    <w:rsid w:val="00C22E9C"/>
    <w:rsid w:val="00C62038"/>
    <w:rsid w:val="00C63C24"/>
    <w:rsid w:val="00C760CB"/>
    <w:rsid w:val="00C80FBC"/>
    <w:rsid w:val="00CA3116"/>
    <w:rsid w:val="00CB2365"/>
    <w:rsid w:val="00CB2FD6"/>
    <w:rsid w:val="00CB7194"/>
    <w:rsid w:val="00CC0388"/>
    <w:rsid w:val="00CC6452"/>
    <w:rsid w:val="00CD220A"/>
    <w:rsid w:val="00CD45BA"/>
    <w:rsid w:val="00CD6D13"/>
    <w:rsid w:val="00CF1AB5"/>
    <w:rsid w:val="00D01702"/>
    <w:rsid w:val="00D3766D"/>
    <w:rsid w:val="00D4002A"/>
    <w:rsid w:val="00D44326"/>
    <w:rsid w:val="00D47B61"/>
    <w:rsid w:val="00D50453"/>
    <w:rsid w:val="00D560C2"/>
    <w:rsid w:val="00D56146"/>
    <w:rsid w:val="00D66734"/>
    <w:rsid w:val="00D82595"/>
    <w:rsid w:val="00D9032C"/>
    <w:rsid w:val="00D94595"/>
    <w:rsid w:val="00DA0245"/>
    <w:rsid w:val="00DB4941"/>
    <w:rsid w:val="00DB66D5"/>
    <w:rsid w:val="00DC7486"/>
    <w:rsid w:val="00DC798F"/>
    <w:rsid w:val="00DD0C8B"/>
    <w:rsid w:val="00DE40DC"/>
    <w:rsid w:val="00DF1B86"/>
    <w:rsid w:val="00E120C0"/>
    <w:rsid w:val="00E160D3"/>
    <w:rsid w:val="00E57031"/>
    <w:rsid w:val="00E817A0"/>
    <w:rsid w:val="00E871B4"/>
    <w:rsid w:val="00E9077E"/>
    <w:rsid w:val="00E93F2A"/>
    <w:rsid w:val="00EA7AD9"/>
    <w:rsid w:val="00EB55F9"/>
    <w:rsid w:val="00EC619A"/>
    <w:rsid w:val="00F00115"/>
    <w:rsid w:val="00F15F71"/>
    <w:rsid w:val="00F447C7"/>
    <w:rsid w:val="00F61C19"/>
    <w:rsid w:val="00F64BC9"/>
    <w:rsid w:val="00F73E46"/>
    <w:rsid w:val="00F8461B"/>
    <w:rsid w:val="00F92EE2"/>
    <w:rsid w:val="00FB21EF"/>
    <w:rsid w:val="00FB3186"/>
    <w:rsid w:val="00FB5460"/>
    <w:rsid w:val="00FC7996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72A06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464C-FAE4-442F-857C-518604B0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6756</Words>
  <Characters>40538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5</cp:revision>
  <cp:lastPrinted>2022-03-11T14:05:00Z</cp:lastPrinted>
  <dcterms:created xsi:type="dcterms:W3CDTF">2022-05-20T06:59:00Z</dcterms:created>
  <dcterms:modified xsi:type="dcterms:W3CDTF">2022-05-20T07:42:00Z</dcterms:modified>
</cp:coreProperties>
</file>